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4FC" w:rsidRPr="005C32C6" w:rsidRDefault="00B224FC" w:rsidP="00B224F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do preâmbulo do contrato com a indicação de que se trata da 1ª alteração do contrato com a devida consolidação do texto, bem como a expressa citação das leis municipais que ratificaram o protocolo de intenções;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Considerando que, conforme exigido na Lei 11.107/2005, a representação do Ente federativo consorciado se dá, necessariamente, na pessoa do chefe do Poder Executivo e dada a alternância natural do processo eleitoral, sugeriu-se manter apenas a qualificação do Ente Público na cláusula 1.2 para evitar a necessidade de alteração da qualificação da pessoa física do(a) Prefeito(a) a cada alternância de mandato;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 xml:space="preserve">Como o consórcio já se encontra plenamente constituído, na cláusula 2 se propôs  a menção de que trata também das regras de </w:t>
      </w:r>
      <w:proofErr w:type="spellStart"/>
      <w:r w:rsidRPr="005C32C6">
        <w:rPr>
          <w:rFonts w:ascii="Arial" w:hAnsi="Arial" w:cs="Arial"/>
        </w:rPr>
        <w:t>consorciamento</w:t>
      </w:r>
      <w:proofErr w:type="spellEnd"/>
      <w:r w:rsidRPr="005C32C6">
        <w:rPr>
          <w:rFonts w:ascii="Arial" w:hAnsi="Arial" w:cs="Arial"/>
        </w:rPr>
        <w:t>, prevendo, em especial, que a alteração do contrato de consórcio exclusivamente em razão do ingresso de novo consorciado, cabe apenas a este proceder a ratificação do contrato do consórcio, dispensando os demais já consorciados de tal rito, cabendo ao CIM-AMFRI publicar o documento atualizado e informar o ingresso de novo consorciado aos demais Poderes Legislativos dos consorciados;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Na cláusula 3, item 3.3, suprimiu-se parte da redação que dispõe sobre extinção das posições de trabalho no caso de dissolução do consórcio, visto que tal previsão já encontra assento na cláusula 28;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Na cláusula 4 se propôs a reestruturação e adequação das finalidades e objetivos de atuação do consórcio com alicerce nos programas desenvolvidos pelo CIM-AMFRI em benefício dos entes consorciados;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 xml:space="preserve">Em razão da revogação da Lei nº 8.666/1993, promoveu-se a atualização das previsões relacionadas </w:t>
      </w:r>
      <w:proofErr w:type="gramStart"/>
      <w:r w:rsidRPr="005C32C6">
        <w:rPr>
          <w:rFonts w:ascii="Arial" w:hAnsi="Arial" w:cs="Arial"/>
        </w:rPr>
        <w:t>à</w:t>
      </w:r>
      <w:proofErr w:type="gramEnd"/>
      <w:r w:rsidRPr="005C32C6">
        <w:rPr>
          <w:rFonts w:ascii="Arial" w:hAnsi="Arial" w:cs="Arial"/>
        </w:rPr>
        <w:t xml:space="preserve"> licitações e contratos administrativos em atenção aos termos da Lei nº 14.133/2021;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Aperfeiçoar a redação da 7.2 para expressamente designar como dever dos entes consorciados o pagamento das obrigações financeiras contraídas mediante contrato de rateio e programa na data aprazada, sob pena de suspensão e exclusão do consórcio, a fim de garantir a sua estabilidade e sustentabilidade financeira;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lastRenderedPageBreak/>
        <w:t>Complementação do item 8.2 para prever a eficácia do estatuto mediante publicação na imprensa oficial;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 xml:space="preserve">Alteração da cláusula 9.1.1 para prever no caso de impedimento ou ausência do chefe do Poder Executivo, este poderá ser representado pelo seu substituto legal; 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 xml:space="preserve">Alteração da cláusula 9.1.3 para prever a representação do chefe do Poder Executivo perante a Assembleia Geral dependerá de procuração outorgada especificamente para este fim; 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No que se refere à Assembleia Geral, propôs-se:</w:t>
      </w:r>
    </w:p>
    <w:p w:rsidR="00B224FC" w:rsidRPr="005C32C6" w:rsidRDefault="00B224FC" w:rsidP="00B224FC">
      <w:pPr>
        <w:pStyle w:val="Rodap"/>
        <w:numPr>
          <w:ilvl w:val="0"/>
          <w:numId w:val="1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O ajuste da cláusula 9.2 e seus subitens, para complementar disposições sobre as normas para sua convocação e funcionamento, conforme exige o art. 4º, VI, da Lei 11.105/2005;</w:t>
      </w:r>
    </w:p>
    <w:p w:rsidR="00B224FC" w:rsidRPr="005C32C6" w:rsidRDefault="00B224FC" w:rsidP="00B224FC">
      <w:pPr>
        <w:pStyle w:val="Rodap"/>
        <w:numPr>
          <w:ilvl w:val="0"/>
          <w:numId w:val="1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 possibilidade da realização pela forma virtual;</w:t>
      </w:r>
    </w:p>
    <w:p w:rsidR="00B224FC" w:rsidRPr="005C32C6" w:rsidRDefault="00B224FC" w:rsidP="00B224FC">
      <w:pPr>
        <w:pStyle w:val="Rodap"/>
        <w:numPr>
          <w:ilvl w:val="0"/>
          <w:numId w:val="1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Desmembramento da competência da Assembleia Geral para aprovar a extinção do consórcio a fim de atribuir adequadamente o quórum de deliberação;</w:t>
      </w:r>
    </w:p>
    <w:p w:rsidR="00B224FC" w:rsidRPr="005C32C6" w:rsidRDefault="00B224FC" w:rsidP="00B224FC">
      <w:pPr>
        <w:pStyle w:val="Rodap"/>
        <w:numPr>
          <w:ilvl w:val="0"/>
          <w:numId w:val="1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e ordenação das competências estabelecidas na cláusula 9.4;</w:t>
      </w:r>
    </w:p>
    <w:p w:rsidR="00B224FC" w:rsidRPr="005C32C6" w:rsidRDefault="00B224FC" w:rsidP="00B224FC">
      <w:pPr>
        <w:pStyle w:val="Rodap"/>
        <w:numPr>
          <w:ilvl w:val="0"/>
          <w:numId w:val="1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da cláusula 9.5 especificando de maneira clara os quóruns de deliberação da Assembleia Geral;</w:t>
      </w:r>
    </w:p>
    <w:p w:rsidR="00B224FC" w:rsidRPr="005C32C6" w:rsidRDefault="00B224FC" w:rsidP="00B224FC">
      <w:pPr>
        <w:pStyle w:val="Rodap"/>
        <w:numPr>
          <w:ilvl w:val="0"/>
          <w:numId w:val="1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Inclusão da cláusula 9.5.1 prevendo que, havendo consenso, as deliberações poderão ser efetivadas por meio de aclamação.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No que se refere à Presidência e Vice-Presidência:</w:t>
      </w:r>
    </w:p>
    <w:p w:rsidR="00B224FC" w:rsidRPr="005C32C6" w:rsidRDefault="00B224FC" w:rsidP="00B224FC">
      <w:pPr>
        <w:pStyle w:val="Rodap"/>
        <w:numPr>
          <w:ilvl w:val="0"/>
          <w:numId w:val="2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e ordenação das competências do Presidente estabelecidas na cláusula 10.1;</w:t>
      </w:r>
    </w:p>
    <w:p w:rsidR="00B224FC" w:rsidRPr="005C32C6" w:rsidRDefault="00B224FC" w:rsidP="00B224FC">
      <w:pPr>
        <w:pStyle w:val="Rodap"/>
        <w:numPr>
          <w:ilvl w:val="0"/>
          <w:numId w:val="2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do quórum de instalação da Assembleia Geral para eleição do Presidente e Vice-Presidente, bem como o quórum de votação previstos na cláusula 10.7.2;</w:t>
      </w:r>
    </w:p>
    <w:p w:rsidR="00B224FC" w:rsidRPr="005C32C6" w:rsidRDefault="00B224FC" w:rsidP="00B224FC">
      <w:pPr>
        <w:pStyle w:val="Rodap"/>
        <w:numPr>
          <w:ilvl w:val="0"/>
          <w:numId w:val="2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Na cláusula 10.7.3, previsão de que eventual segundo turno se dará com a participação dos dois mais votados no primeiro turno e na cláusula 10.7.4 que, havendo empate, considera-se eleito o candidato mais idoso.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lastRenderedPageBreak/>
        <w:t xml:space="preserve">No que se refere ao Conselho Fiscal: </w:t>
      </w:r>
    </w:p>
    <w:p w:rsidR="00B224FC" w:rsidRPr="005C32C6" w:rsidRDefault="00B224FC" w:rsidP="00B224FC">
      <w:pPr>
        <w:pStyle w:val="Rodap"/>
        <w:numPr>
          <w:ilvl w:val="0"/>
          <w:numId w:val="3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Padronização dos quóruns de instalação e votação conforme já estabelecido no documento.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No que se refere à Diretoria Executiva:</w:t>
      </w:r>
    </w:p>
    <w:p w:rsidR="00B224FC" w:rsidRPr="005C32C6" w:rsidRDefault="00B224FC" w:rsidP="00B224FC">
      <w:pPr>
        <w:pStyle w:val="Rodap"/>
        <w:numPr>
          <w:ilvl w:val="0"/>
          <w:numId w:val="3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na redação da cláusula 12.1.1 e inclusão da cláusula 12.1.2 a fim de deixar claro a posição de Diretor(a) Executivo(a) enquanto empregado público comissionado contemplado no quadro de pessoal;</w:t>
      </w:r>
    </w:p>
    <w:p w:rsidR="00B224FC" w:rsidRPr="005C32C6" w:rsidRDefault="00B224FC" w:rsidP="00B224FC">
      <w:pPr>
        <w:pStyle w:val="Rodap"/>
        <w:numPr>
          <w:ilvl w:val="0"/>
          <w:numId w:val="3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Aglutinação e atualização das competências previstas na cláusula 12.2 e seguintes, para otimizar e simplificar a redação.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 xml:space="preserve"> No que se refere à Diretoria de Câmaras Temáticas:</w:t>
      </w:r>
    </w:p>
    <w:p w:rsidR="00B224FC" w:rsidRPr="005C32C6" w:rsidRDefault="00B224FC" w:rsidP="00B224FC">
      <w:pPr>
        <w:pStyle w:val="Rodap"/>
        <w:numPr>
          <w:ilvl w:val="0"/>
          <w:numId w:val="4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Na cláusula 13.1 reordenação e atualização da nomenclatura das Câmaras Temáticas;</w:t>
      </w:r>
    </w:p>
    <w:p w:rsidR="00B224FC" w:rsidRPr="005C32C6" w:rsidRDefault="00B224FC" w:rsidP="00B224FC">
      <w:pPr>
        <w:pStyle w:val="Rodap"/>
        <w:numPr>
          <w:ilvl w:val="0"/>
          <w:numId w:val="4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na redação da cláusula 13.2.1 e inclusão da cláusula 13.2.2 a fim de deixar claro a posição de Diretor(a) de Câmaras Temáticas enquanto empregado público comissionado contemplado no quadro de pessoal, bem como regras para eficácia de sua eventual exoneração;</w:t>
      </w:r>
    </w:p>
    <w:p w:rsidR="00B224FC" w:rsidRPr="005C32C6" w:rsidRDefault="00B224FC" w:rsidP="00B224FC">
      <w:pPr>
        <w:pStyle w:val="Rodap"/>
        <w:numPr>
          <w:ilvl w:val="0"/>
          <w:numId w:val="4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Revisão e ajustes nas competências previstas na cláusula 13.3 e seguintes;</w:t>
      </w:r>
    </w:p>
    <w:p w:rsidR="00B224FC" w:rsidRPr="005C32C6" w:rsidRDefault="00B224FC" w:rsidP="00B224FC">
      <w:pPr>
        <w:pStyle w:val="Rodap"/>
        <w:numPr>
          <w:ilvl w:val="0"/>
          <w:numId w:val="4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Alteração da cláusula 13.4 para prever que cada</w:t>
      </w:r>
      <w:r w:rsidRPr="005C32C6">
        <w:rPr>
          <w:rFonts w:ascii="Arial" w:eastAsia="SimSun" w:hAnsi="Arial" w:cs="Arial"/>
          <w:lang w:eastAsia="zh-CN"/>
        </w:rPr>
        <w:t xml:space="preserve"> Câmara Temática será administrada por um Gerente.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No que se refere à Diretoria Financeira:</w:t>
      </w:r>
    </w:p>
    <w:p w:rsidR="00B224FC" w:rsidRPr="005C32C6" w:rsidRDefault="00B224FC" w:rsidP="00B224FC">
      <w:pPr>
        <w:pStyle w:val="Rodap"/>
        <w:numPr>
          <w:ilvl w:val="0"/>
          <w:numId w:val="4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na redação da cláusula 14.1.1 e inclusão da cláusula 14.1.2 a fim de deixar claro a posição do(a) Diretor(a) Financeira(a) enquanto empregado público comissionado contemplado no quadro de pessoal, bem como regras para eficácia de sua eventual exoneração;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 xml:space="preserve"> Reestruturação da organização interna dos órgãos, mediante:</w:t>
      </w:r>
    </w:p>
    <w:p w:rsidR="00B224FC" w:rsidRPr="005C32C6" w:rsidRDefault="00B224FC" w:rsidP="00B224FC">
      <w:pPr>
        <w:pStyle w:val="Rodap"/>
        <w:numPr>
          <w:ilvl w:val="0"/>
          <w:numId w:val="4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 xml:space="preserve">Alteração da cláusula 15 para substituir as assessorias pelos seguintes departamentos: Administrativo; Jurídico; </w:t>
      </w:r>
      <w:r w:rsidRPr="005C32C6">
        <w:rPr>
          <w:rFonts w:ascii="Arial" w:hAnsi="Arial" w:cs="Arial"/>
        </w:rPr>
        <w:lastRenderedPageBreak/>
        <w:t xml:space="preserve">Comunicação; Licitações e Contratos; Controle Interno; Financeiro; </w:t>
      </w:r>
      <w:proofErr w:type="gramStart"/>
      <w:r w:rsidRPr="005C32C6">
        <w:rPr>
          <w:rFonts w:ascii="Arial" w:hAnsi="Arial" w:cs="Arial"/>
        </w:rPr>
        <w:t>e Contábil</w:t>
      </w:r>
      <w:proofErr w:type="gramEnd"/>
      <w:r w:rsidRPr="005C32C6">
        <w:rPr>
          <w:rFonts w:ascii="Arial" w:hAnsi="Arial" w:cs="Arial"/>
        </w:rPr>
        <w:t>;</w:t>
      </w:r>
    </w:p>
    <w:p w:rsidR="00B224FC" w:rsidRPr="005C32C6" w:rsidRDefault="00B224FC" w:rsidP="00B224FC">
      <w:pPr>
        <w:pStyle w:val="Rodap"/>
        <w:numPr>
          <w:ilvl w:val="0"/>
          <w:numId w:val="4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Alteração da cláusula 16 para prever que cada um dos departamentos estabelecidos na cláusula 15.1 e cada uma das Câmaras Temáticas estabelecidas na cláusula 13.1, serão dirigidos por um Gerente, com formação de nível superior e experiência na área fim do respectivo departamento ou câmara, incumbido de realizar tarefas inerentes às áreas de planejamento, organização, direção e controle;</w:t>
      </w:r>
    </w:p>
    <w:p w:rsidR="00B224FC" w:rsidRPr="005C32C6" w:rsidRDefault="00B224FC" w:rsidP="00B224FC">
      <w:pPr>
        <w:pStyle w:val="Rodap"/>
        <w:numPr>
          <w:ilvl w:val="0"/>
          <w:numId w:val="4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Incluída previsão de que nos departamentos ou câmaras em que houver a segmentação de área por setor, fica instituída a função gratificada de Coordenador Técnico a ser ocupada exclusivamente por empregado público provido por concurso público;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No que se refere à cláusula 18 que trata do regime jurídico funcional:</w:t>
      </w:r>
    </w:p>
    <w:p w:rsidR="00B224FC" w:rsidRPr="005C32C6" w:rsidRDefault="00B224FC" w:rsidP="00B224FC">
      <w:pPr>
        <w:pStyle w:val="Rodap"/>
        <w:numPr>
          <w:ilvl w:val="0"/>
          <w:numId w:val="5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 na cláusula 18.1 para conceituar empregados públicos concursados, comissionados e temporários que compõe o quadro de pessoal;</w:t>
      </w:r>
    </w:p>
    <w:p w:rsidR="00B224FC" w:rsidRPr="005C32C6" w:rsidRDefault="00B224FC" w:rsidP="00B224FC">
      <w:pPr>
        <w:pStyle w:val="Rodap"/>
        <w:numPr>
          <w:ilvl w:val="0"/>
          <w:numId w:val="5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Complemento na redação na cláusula 18.8 e subitens para estabelecer que, aos empregados públicos são cabíveis indenizações; auxílios pecuniários; e adicionais previstos em lei.</w:t>
      </w:r>
    </w:p>
    <w:p w:rsidR="00B224FC" w:rsidRPr="005C32C6" w:rsidRDefault="00B224FC" w:rsidP="00B224FC">
      <w:pPr>
        <w:pStyle w:val="Rodap"/>
        <w:numPr>
          <w:ilvl w:val="0"/>
          <w:numId w:val="5"/>
        </w:numPr>
        <w:tabs>
          <w:tab w:val="left" w:pos="1192"/>
        </w:tabs>
        <w:spacing w:after="120" w:line="360" w:lineRule="auto"/>
        <w:ind w:left="2268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Regulamentação, na cláusula 18.10 e subitens, das hipóteses de gratificações (pelo exercício de função que seja considerada de chefia, direção ou assessoramento, pela mudança do local de trabalho, pela cedência para consórcio público e pelo desempenho de atividades específicas) que poderão ser concedidas aos empregados públicos do consórcio ou servidores públicos a ele cedidos, com exceção dos empregos em comissão;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No que se refere ao regimento jurídico de licitações e contratos, atualização da redação da cláusula 21.1.1 para prever a possibilidade de o consórcio, além de expedir regulamentação própria, poder aplicar os regulamentos editados pela União para execução da Lei 14.133/2021;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lastRenderedPageBreak/>
        <w:t>No que se refere à disciplina do contrato de rateio, a fim de manter estável a sustentabilidade financeira do consórcio, a inclusão de cláusula (24.6) prevendo a possibilidade de se autorizar o pagamento dos contratos de rateio e programa em favor do Consórcio mediante débito automático, desde que atendidas as condições estipuladas;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Em atenção à Lei 14.662/2023 que incluiu o art. 12-A na Lei 11.107/2005, alterou-se a cláusula 27.1 para prever que alteração do contrato de consórcio público dependerá da ratificação, mediante lei, pela maioria dos entes consorciados;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 xml:space="preserve"> Também no que se refere à alteração do contrato de consórcio público, incluiu-se a cláusula 27.1.1 para estabelecer que a alteração resultante do ingresso de novo ente consorciado demanda a ratificação mediante lei apenas pelo ingressante;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Inclusão da cláusula 28.1.1 prevendo que o instrumento de extinção do consórcio, aprovado pela Assembleia Geral, depende da ratificação mediante lei por todos os entes consorciados, em atenção ao que dispõe o art. 12 da Lei 11.107/2005; e inclusão da cláusula 28.4 prevendo que, até que haja decisão que indique os responsáveis por cada obrigação, os entes consorciados responderão solidariamente pelas obrigações remanescentes, observado os contratos de Programa e de Rateio, garantido o direito de regresso em face dos entes beneficiados ou dos que deram causa à obrigação.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Ajustes na cláusula 29 que trata das disposições gerais, visto o remanejamento de previsões ali contidas em outras cláusulas do documento;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Indicação expressa de qual é órgão oficial de publicação dos atos do Consórcio;</w:t>
      </w:r>
    </w:p>
    <w:p w:rsidR="00B224FC" w:rsidRPr="005C32C6" w:rsidRDefault="00B224FC" w:rsidP="00B224FC">
      <w:pPr>
        <w:pStyle w:val="Rodap"/>
        <w:numPr>
          <w:ilvl w:val="0"/>
          <w:numId w:val="6"/>
        </w:numPr>
        <w:tabs>
          <w:tab w:val="left" w:pos="1192"/>
        </w:tabs>
        <w:spacing w:after="120" w:line="360" w:lineRule="auto"/>
        <w:jc w:val="both"/>
        <w:rPr>
          <w:rFonts w:ascii="Arial" w:hAnsi="Arial" w:cs="Arial"/>
        </w:rPr>
      </w:pPr>
      <w:r w:rsidRPr="005C32C6">
        <w:rPr>
          <w:rFonts w:ascii="Arial" w:hAnsi="Arial" w:cs="Arial"/>
        </w:rPr>
        <w:t>Demais ajustes na redação a fim de aperfeiçoar a adequada interpretação das cláusulas regulamentares.</w:t>
      </w:r>
    </w:p>
    <w:p w:rsidR="00B224FC" w:rsidRDefault="00B224FC">
      <w:bookmarkStart w:id="0" w:name="_GoBack"/>
      <w:bookmarkEnd w:id="0"/>
    </w:p>
    <w:sectPr w:rsidR="00B22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50EFC"/>
    <w:multiLevelType w:val="hybridMultilevel"/>
    <w:tmpl w:val="29A04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61A"/>
    <w:multiLevelType w:val="hybridMultilevel"/>
    <w:tmpl w:val="47CE31E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8EE25E6"/>
    <w:multiLevelType w:val="hybridMultilevel"/>
    <w:tmpl w:val="DB6C6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97DDF"/>
    <w:multiLevelType w:val="hybridMultilevel"/>
    <w:tmpl w:val="598E2FF6"/>
    <w:lvl w:ilvl="0" w:tplc="0416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" w15:restartNumberingAfterBreak="0">
    <w:nsid w:val="764928C7"/>
    <w:multiLevelType w:val="hybridMultilevel"/>
    <w:tmpl w:val="12B2A9A2"/>
    <w:lvl w:ilvl="0" w:tplc="0416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C7A3402"/>
    <w:multiLevelType w:val="hybridMultilevel"/>
    <w:tmpl w:val="E0FA7FD2"/>
    <w:lvl w:ilvl="0" w:tplc="0416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FC"/>
    <w:rsid w:val="00B2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9ACCA-8F5F-4E79-A51E-3BC19A11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4F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224FC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qFormat/>
    <w:rsid w:val="00B22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NoteJuridico</dc:creator>
  <cp:keywords/>
  <dc:description/>
  <cp:lastModifiedBy>NoteJuridico</cp:lastModifiedBy>
  <cp:revision>1</cp:revision>
  <dcterms:created xsi:type="dcterms:W3CDTF">2024-11-01T15:09:00Z</dcterms:created>
  <dcterms:modified xsi:type="dcterms:W3CDTF">2024-11-01T15:09:00Z</dcterms:modified>
</cp:coreProperties>
</file>